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F7" w:rsidRPr="00DE7637" w:rsidRDefault="003308F7" w:rsidP="003308F7">
      <w:pPr>
        <w:pStyle w:val="Heading1"/>
        <w:jc w:val="center"/>
        <w:rPr>
          <w:rStyle w:val="Hyperlink"/>
          <w:sz w:val="28"/>
          <w:szCs w:val="28"/>
        </w:rPr>
      </w:pPr>
      <w:bookmarkStart w:id="0" w:name="_GoBack"/>
      <w:bookmarkEnd w:id="0"/>
      <w:r w:rsidRPr="00DE7637">
        <w:rPr>
          <w:rStyle w:val="Hyperlink"/>
          <w:sz w:val="28"/>
          <w:szCs w:val="28"/>
        </w:rPr>
        <w:t>Appendix C-</w:t>
      </w:r>
    </w:p>
    <w:p w:rsidR="003308F7" w:rsidRPr="00D8503D" w:rsidRDefault="003308F7" w:rsidP="003308F7"/>
    <w:p w:rsidR="003308F7" w:rsidRPr="00F16368" w:rsidRDefault="003308F7" w:rsidP="003308F7">
      <w:pPr>
        <w:pStyle w:val="Heading1"/>
        <w:jc w:val="center"/>
        <w:rPr>
          <w:szCs w:val="24"/>
          <w:u w:val="single"/>
        </w:rPr>
      </w:pPr>
      <w:r w:rsidRPr="00F16368">
        <w:rPr>
          <w:szCs w:val="24"/>
          <w:u w:val="single"/>
        </w:rPr>
        <w:t>PHIMS Closure Checklist for Hepatitis C Case Investigations</w:t>
      </w:r>
    </w:p>
    <w:p w:rsidR="003308F7" w:rsidRPr="00F16368" w:rsidRDefault="003308F7" w:rsidP="003308F7">
      <w:pPr>
        <w:pStyle w:val="Heading1"/>
        <w:rPr>
          <w:b/>
          <w:szCs w:val="24"/>
        </w:rPr>
      </w:pPr>
    </w:p>
    <w:p w:rsidR="003308F7" w:rsidRPr="00F16368" w:rsidRDefault="003308F7" w:rsidP="003308F7">
      <w:pPr>
        <w:pStyle w:val="Heading1"/>
        <w:numPr>
          <w:ilvl w:val="0"/>
          <w:numId w:val="1"/>
        </w:numPr>
        <w:rPr>
          <w:b/>
          <w:szCs w:val="24"/>
        </w:rPr>
      </w:pPr>
      <w:r w:rsidRPr="00F16368">
        <w:rPr>
          <w:b/>
          <w:szCs w:val="24"/>
        </w:rPr>
        <w:t xml:space="preserve">Demographics: </w:t>
      </w:r>
      <w:r w:rsidRPr="00F16368">
        <w:rPr>
          <w:szCs w:val="24"/>
        </w:rPr>
        <w:t>Confirm validated address and phone number have been entered into client demographics</w:t>
      </w:r>
    </w:p>
    <w:p w:rsidR="003308F7" w:rsidRPr="00F16368" w:rsidRDefault="003308F7" w:rsidP="003308F7">
      <w:pPr>
        <w:pStyle w:val="Heading1"/>
        <w:numPr>
          <w:ilvl w:val="0"/>
          <w:numId w:val="1"/>
        </w:numPr>
        <w:rPr>
          <w:szCs w:val="24"/>
        </w:rPr>
      </w:pPr>
      <w:r w:rsidRPr="00F16368">
        <w:rPr>
          <w:b/>
          <w:szCs w:val="24"/>
        </w:rPr>
        <w:t xml:space="preserve">Case classification/ staging: </w:t>
      </w:r>
      <w:r w:rsidRPr="00F16368">
        <w:rPr>
          <w:szCs w:val="24"/>
        </w:rPr>
        <w:t xml:space="preserve">Label as “lab confirmed”, staging will vary, “chronic” as default if both antibody and RNA/ core antigen positive.  If only antibody testing completed, stage as unknown.  See page 6 </w:t>
      </w:r>
      <w:hyperlink r:id="rId5" w:history="1">
        <w:r w:rsidRPr="00F16368">
          <w:rPr>
            <w:rStyle w:val="Hyperlink"/>
            <w:b/>
            <w:szCs w:val="24"/>
          </w:rPr>
          <w:t>https://www.gov.mb.ca/health/publichealth/surveillance/docs/mhsu_6780_ug.pdf</w:t>
        </w:r>
      </w:hyperlink>
      <w:r w:rsidRPr="00F16368">
        <w:rPr>
          <w:b/>
          <w:szCs w:val="24"/>
        </w:rPr>
        <w:t xml:space="preserve"> </w:t>
      </w:r>
      <w:r w:rsidRPr="00F16368">
        <w:rPr>
          <w:szCs w:val="24"/>
        </w:rPr>
        <w:t xml:space="preserve"> for guidance regarding “previous diagnosis” staging.  Ensure staging is added by 4 weeks.</w:t>
      </w:r>
    </w:p>
    <w:p w:rsidR="003308F7" w:rsidRPr="00F16368" w:rsidRDefault="003308F7" w:rsidP="003308F7">
      <w:pPr>
        <w:pStyle w:val="Heading1"/>
        <w:numPr>
          <w:ilvl w:val="0"/>
          <w:numId w:val="1"/>
        </w:numPr>
        <w:rPr>
          <w:szCs w:val="24"/>
        </w:rPr>
      </w:pPr>
      <w:r w:rsidRPr="00F16368">
        <w:rPr>
          <w:b/>
          <w:szCs w:val="24"/>
        </w:rPr>
        <w:t xml:space="preserve">Case disposition: </w:t>
      </w:r>
      <w:r w:rsidRPr="00F16368">
        <w:rPr>
          <w:szCs w:val="24"/>
        </w:rPr>
        <w:t>Specific disposition will depend on the specific clinical scenario, however appropriate dispositions at time of closure may include:</w:t>
      </w:r>
    </w:p>
    <w:p w:rsidR="003308F7" w:rsidRPr="00F16368" w:rsidRDefault="003308F7" w:rsidP="003308F7">
      <w:pPr>
        <w:pStyle w:val="Heading1"/>
        <w:ind w:left="1440"/>
        <w:rPr>
          <w:szCs w:val="24"/>
        </w:rPr>
      </w:pPr>
      <w:r w:rsidRPr="00F16368">
        <w:rPr>
          <w:szCs w:val="24"/>
        </w:rPr>
        <w:t>Declined follow up</w:t>
      </w:r>
    </w:p>
    <w:p w:rsidR="003308F7" w:rsidRPr="00F16368" w:rsidRDefault="003308F7" w:rsidP="003308F7">
      <w:pPr>
        <w:pStyle w:val="Heading1"/>
        <w:ind w:left="1440"/>
        <w:rPr>
          <w:szCs w:val="24"/>
        </w:rPr>
      </w:pPr>
      <w:r w:rsidRPr="00F16368">
        <w:rPr>
          <w:szCs w:val="24"/>
        </w:rPr>
        <w:t>Follow up complete</w:t>
      </w:r>
    </w:p>
    <w:p w:rsidR="003308F7" w:rsidRPr="00F16368" w:rsidRDefault="003308F7" w:rsidP="003308F7">
      <w:pPr>
        <w:pStyle w:val="Heading1"/>
        <w:ind w:left="1440"/>
        <w:rPr>
          <w:szCs w:val="24"/>
        </w:rPr>
      </w:pPr>
      <w:r w:rsidRPr="00F16368">
        <w:rPr>
          <w:szCs w:val="24"/>
        </w:rPr>
        <w:t>Unable to complete/ locate</w:t>
      </w:r>
    </w:p>
    <w:p w:rsidR="003308F7" w:rsidRPr="00F16368" w:rsidRDefault="003308F7" w:rsidP="003308F7">
      <w:pPr>
        <w:pStyle w:val="Heading1"/>
        <w:numPr>
          <w:ilvl w:val="0"/>
          <w:numId w:val="1"/>
        </w:numPr>
        <w:rPr>
          <w:rStyle w:val="Hyperlink"/>
          <w:b/>
          <w:iCs/>
          <w:szCs w:val="24"/>
          <w:lang w:val="en-GB"/>
        </w:rPr>
      </w:pPr>
      <w:r w:rsidRPr="00F16368">
        <w:rPr>
          <w:b/>
          <w:szCs w:val="24"/>
        </w:rPr>
        <w:t xml:space="preserve">Address at time of initial investigation: </w:t>
      </w:r>
      <w:r w:rsidRPr="00F16368">
        <w:rPr>
          <w:szCs w:val="24"/>
        </w:rPr>
        <w:t xml:space="preserve">Verify appropriate address selected from drop down. </w:t>
      </w:r>
      <w:r w:rsidRPr="00F16368">
        <w:rPr>
          <w:b/>
          <w:szCs w:val="24"/>
        </w:rPr>
        <w:t xml:space="preserve">. </w:t>
      </w:r>
      <w:r w:rsidRPr="00F16368">
        <w:rPr>
          <w:szCs w:val="24"/>
        </w:rPr>
        <w:t>If in the last 12 months the client has been unsheltered, emergency sheltered, or provisionally sheltered as defined by</w:t>
      </w:r>
      <w:r w:rsidRPr="00F16368">
        <w:rPr>
          <w:b/>
          <w:szCs w:val="24"/>
        </w:rPr>
        <w:t xml:space="preserve"> </w:t>
      </w:r>
      <w:hyperlink r:id="rId6" w:history="1">
        <w:r w:rsidRPr="00F16368">
          <w:rPr>
            <w:rStyle w:val="Hyperlink"/>
            <w:b/>
            <w:bCs/>
            <w:iCs/>
            <w:szCs w:val="24"/>
            <w:lang w:val="en-GB"/>
          </w:rPr>
          <w:t>https://www.homelesshub.ca/sites/default/files/COHhomelessdefinition-1pager.pdf</w:t>
        </w:r>
      </w:hyperlink>
      <w:r w:rsidRPr="00F16368">
        <w:rPr>
          <w:rStyle w:val="Hyperlink"/>
          <w:b/>
          <w:iCs/>
          <w:szCs w:val="24"/>
          <w:lang w:val="en-GB"/>
        </w:rPr>
        <w:t xml:space="preserve"> - add risk factor Housing Unstable</w:t>
      </w:r>
    </w:p>
    <w:p w:rsidR="003308F7" w:rsidRPr="00F16368" w:rsidRDefault="003308F7" w:rsidP="003308F7">
      <w:pPr>
        <w:pStyle w:val="Heading1"/>
        <w:numPr>
          <w:ilvl w:val="0"/>
          <w:numId w:val="2"/>
        </w:numPr>
        <w:rPr>
          <w:szCs w:val="24"/>
        </w:rPr>
      </w:pPr>
      <w:r w:rsidRPr="00F16368">
        <w:rPr>
          <w:b/>
          <w:szCs w:val="24"/>
        </w:rPr>
        <w:t xml:space="preserve">Exposure summary: </w:t>
      </w:r>
      <w:r w:rsidRPr="00F16368">
        <w:rPr>
          <w:szCs w:val="24"/>
        </w:rPr>
        <w:t xml:space="preserve">If IVDU contacts were generated, ensure that contacts have been entered correctly and that follow up is either complete or that there is a clear plan for ongoing follow up.  All contacts should be reflected in exposure summary, even if it is as an anonymous contact. </w:t>
      </w:r>
    </w:p>
    <w:p w:rsidR="003308F7" w:rsidRPr="00F16368" w:rsidRDefault="003308F7" w:rsidP="003308F7">
      <w:pPr>
        <w:rPr>
          <w:sz w:val="24"/>
          <w:szCs w:val="24"/>
          <w:lang w:val="en-GB"/>
        </w:rPr>
      </w:pPr>
    </w:p>
    <w:p w:rsidR="003308F7" w:rsidRPr="00F16368" w:rsidRDefault="003308F7" w:rsidP="003308F7">
      <w:pPr>
        <w:pStyle w:val="Heading1"/>
        <w:numPr>
          <w:ilvl w:val="0"/>
          <w:numId w:val="1"/>
        </w:numPr>
        <w:rPr>
          <w:szCs w:val="24"/>
        </w:rPr>
      </w:pPr>
      <w:r w:rsidRPr="00F16368">
        <w:rPr>
          <w:b/>
          <w:szCs w:val="24"/>
        </w:rPr>
        <w:t xml:space="preserve">Signs and Symptoms: </w:t>
      </w:r>
      <w:r w:rsidRPr="00F16368">
        <w:rPr>
          <w:szCs w:val="24"/>
        </w:rPr>
        <w:t>Record both yes and no for all discussed with client/ HCP</w:t>
      </w:r>
    </w:p>
    <w:p w:rsidR="003308F7" w:rsidRPr="00F16368" w:rsidRDefault="003308F7" w:rsidP="003308F7">
      <w:pPr>
        <w:pStyle w:val="Heading1"/>
        <w:numPr>
          <w:ilvl w:val="0"/>
          <w:numId w:val="1"/>
        </w:numPr>
        <w:rPr>
          <w:b/>
          <w:szCs w:val="24"/>
        </w:rPr>
      </w:pPr>
      <w:r w:rsidRPr="00F16368">
        <w:rPr>
          <w:b/>
          <w:szCs w:val="24"/>
        </w:rPr>
        <w:t xml:space="preserve">Risk factors: social and exposure-related risk factors are defined on MHSU Surveillance form. For required risk factors, investigator must document a response: </w:t>
      </w:r>
      <w:r w:rsidRPr="00F16368">
        <w:rPr>
          <w:b/>
          <w:i/>
          <w:szCs w:val="24"/>
        </w:rPr>
        <w:t>yes, no, unknown, declined to respond, not asked.</w:t>
      </w:r>
      <w:r w:rsidRPr="00F16368">
        <w:rPr>
          <w:b/>
          <w:szCs w:val="24"/>
        </w:rPr>
        <w:t xml:space="preserve">   Ensure inclusion of relevant risk factors associated with potential blood exposure.  If client has a previous history of Hep C diagnosed out of Manitoba, detail should be recorded in the appropriate risk factor. Non-required risk factors may be explored if client does not identify any other likely acquisition risk, or other relevant issues that arise during the investigation. </w:t>
      </w:r>
    </w:p>
    <w:p w:rsidR="003308F7" w:rsidRPr="00F16368" w:rsidRDefault="003308F7" w:rsidP="003308F7">
      <w:pPr>
        <w:pStyle w:val="Heading1"/>
        <w:numPr>
          <w:ilvl w:val="0"/>
          <w:numId w:val="1"/>
        </w:numPr>
        <w:rPr>
          <w:szCs w:val="24"/>
        </w:rPr>
      </w:pPr>
      <w:r w:rsidRPr="00F16368">
        <w:rPr>
          <w:b/>
          <w:szCs w:val="24"/>
        </w:rPr>
        <w:t xml:space="preserve">Closure Note: </w:t>
      </w:r>
      <w:r w:rsidRPr="00F16368">
        <w:rPr>
          <w:szCs w:val="24"/>
        </w:rPr>
        <w:t>Documentation should occur throughout investigation in the note section in accordance with regional documentation policies.  Prior to closure, include a note summarizing completion of follow up/ what remains outstanding (if unable to locate client).</w:t>
      </w:r>
    </w:p>
    <w:p w:rsidR="00135068" w:rsidRDefault="00135068"/>
    <w:sectPr w:rsidR="0013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56810"/>
    <w:multiLevelType w:val="hybridMultilevel"/>
    <w:tmpl w:val="18781E72"/>
    <w:lvl w:ilvl="0" w:tplc="3C34F9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F7"/>
    <w:rsid w:val="00027315"/>
    <w:rsid w:val="00135068"/>
    <w:rsid w:val="003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AAE6B-90C0-4494-A13A-26C883DA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08F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8F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30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urldefense.com%2Fv3%2F__https%3A%2F%2Fwww.homelesshub.ca%2Fsites%2Fdefault%2Ffiles%2FCOHhomelessdefinition-1pager.pdf__%3B!!IqQd2s6KUyvHwNLtrw!qvZb8XfU_HsxkgYPjpHrJcmNZJdPx3bbeqFrfQFyfHJMXfUsE6ict44XSfqDNXkonRTROsUsrTvjd6dlKeucx5Nr7ciucQ%24&amp;data=05%7C01%7CDebbie.Nowicki%40gov.mb.ca%7C61f6aa88f2524771c89208daff0d4eb9%7Cabf64de92a5c4d77baa2a76265367d3a%7C0%7C0%7C638102730139447483%7CUnknown%7CTWFpbGZsb3d8eyJWIjoiMC4wLjAwMDAiLCJQIjoiV2luMzIiLCJBTiI6Ik1haWwiLCJXVCI6Mn0%3D%7C3000%7C%7C%7C&amp;sdata=k%2BCoS7nv7W1umPiuZ%2FtCmrcm6SWxyK6XCTaUgpn6%2BEk%3D&amp;reserved=0" TargetMode="External"/><Relationship Id="rId5" Type="http://schemas.openxmlformats.org/officeDocument/2006/relationships/hyperlink" Target="https://www.gov.mb.ca/health/publichealth/surveillance/docs/mhsu_6780_u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2601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Horton</dc:creator>
  <cp:keywords/>
  <dc:description/>
  <cp:lastModifiedBy>Tanya Horton</cp:lastModifiedBy>
  <cp:revision>2</cp:revision>
  <dcterms:created xsi:type="dcterms:W3CDTF">2023-07-04T14:16:00Z</dcterms:created>
  <dcterms:modified xsi:type="dcterms:W3CDTF">2023-07-04T14:35:00Z</dcterms:modified>
</cp:coreProperties>
</file>